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D483B" w14:textId="13AB17A4" w:rsidR="00BB6231" w:rsidRPr="00536A17" w:rsidRDefault="00BB6231" w:rsidP="00536A1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6A17">
        <w:rPr>
          <w:rFonts w:ascii="Times New Roman" w:hAnsi="Times New Roman" w:cs="Times New Roman"/>
          <w:sz w:val="24"/>
          <w:szCs w:val="24"/>
        </w:rPr>
        <w:t>Публикации Абдуллиной С.Г.</w:t>
      </w:r>
    </w:p>
    <w:p w14:paraId="3F568579" w14:textId="77777777" w:rsidR="00BB6231" w:rsidRPr="00536A17" w:rsidRDefault="00BB6231" w:rsidP="00536A17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A17">
        <w:rPr>
          <w:rFonts w:ascii="Times New Roman" w:hAnsi="Times New Roman" w:cs="Times New Roman"/>
          <w:sz w:val="24"/>
          <w:szCs w:val="24"/>
        </w:rPr>
        <w:t xml:space="preserve">Абдуллина С.Г., Кропачева Д.О. Разработка и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валидация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спектрофотометрического определения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пропранолола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в порошках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экстемпорального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изготовления для детей //Вопросы биологической, медицинской и фармацевтической химии. 2025. Т. 28. № 1. С. 41-47.</w:t>
      </w:r>
    </w:p>
    <w:p w14:paraId="0AC60E8E" w14:textId="5D5888A4" w:rsidR="00BB6231" w:rsidRPr="00536A17" w:rsidRDefault="00BB6231" w:rsidP="00536A17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A17">
        <w:rPr>
          <w:rFonts w:ascii="Times New Roman" w:hAnsi="Times New Roman" w:cs="Times New Roman"/>
          <w:sz w:val="24"/>
          <w:szCs w:val="24"/>
        </w:rPr>
        <w:t xml:space="preserve">Абдуллина С.Г., Кропачева Д.О., Егорова С.Н. Оценка рисков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экстемпорального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изготовления и контроля качества порошков в детских дозировках // Вопросы обеспечения качества лекарственных средств. 2024. № 2 (44). С. 23-31.</w:t>
      </w:r>
    </w:p>
    <w:p w14:paraId="5E43FAC8" w14:textId="77777777" w:rsidR="00BB6231" w:rsidRPr="00536A17" w:rsidRDefault="00BB6231" w:rsidP="00536A17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A17">
        <w:rPr>
          <w:rFonts w:ascii="Times New Roman" w:hAnsi="Times New Roman" w:cs="Times New Roman"/>
          <w:sz w:val="24"/>
          <w:szCs w:val="24"/>
        </w:rPr>
        <w:t>Абдуллина С.Г., Серебрянникова Е.А., Лира О.А. Кулонометрическое определение воды в фармацевтических субстанциях // Медико-фармацевтический журнал Пульс. 2023. Т. 25. № 3. С. 68-73.</w:t>
      </w:r>
    </w:p>
    <w:p w14:paraId="65472535" w14:textId="77777777" w:rsidR="00BB6231" w:rsidRPr="00536A17" w:rsidRDefault="00BB6231" w:rsidP="00536A17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A17">
        <w:rPr>
          <w:rFonts w:ascii="Times New Roman" w:hAnsi="Times New Roman" w:cs="Times New Roman"/>
          <w:sz w:val="24"/>
          <w:szCs w:val="24"/>
        </w:rPr>
        <w:t xml:space="preserve">Абдуллина С.Г., Серебрянникова Е.А. Количественное определение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эналаприла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малеата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в субстанции и таблетках методом гальваностатической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кулонометрии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// Медико-фармацевтический журнал Пульс. 2023. Т. 25. № 4. С. 55-60.</w:t>
      </w:r>
    </w:p>
    <w:p w14:paraId="46BE94D4" w14:textId="27840A0C" w:rsidR="00BB6231" w:rsidRPr="00536A17" w:rsidRDefault="00BB6231" w:rsidP="00536A17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A17">
        <w:rPr>
          <w:rFonts w:ascii="Times New Roman" w:hAnsi="Times New Roman" w:cs="Times New Roman"/>
          <w:sz w:val="24"/>
          <w:szCs w:val="24"/>
        </w:rPr>
        <w:t>Абдуллина С.Г., Серебрянникова Е.А. Разработка методики определения воды методом кулонометрического титрования по фишеру в фармацевтических субстанциях группы фторхинолонов // Медико-фармацевтический журнал Пульс. 2022. Т. 24. № 6. С. 17-22.</w:t>
      </w:r>
    </w:p>
    <w:p w14:paraId="30C009F4" w14:textId="77777777" w:rsidR="00BB6231" w:rsidRPr="00536A17" w:rsidRDefault="00BB6231" w:rsidP="00536A17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A17">
        <w:rPr>
          <w:rFonts w:ascii="Times New Roman" w:hAnsi="Times New Roman" w:cs="Times New Roman"/>
          <w:sz w:val="24"/>
          <w:szCs w:val="24"/>
        </w:rPr>
        <w:t xml:space="preserve">Абдуллина С.Г., Калинкина Е.А.,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Тухбатуллина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И.К.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Валидация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кулонометрической методики определения воды в субстанции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розувастатина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// Медицинский вестник Башкортостана. 2020. Т. 15. № 5 (89). С. 65-68.</w:t>
      </w:r>
    </w:p>
    <w:p w14:paraId="57D34D73" w14:textId="4308EB55" w:rsidR="00BB6231" w:rsidRPr="00536A17" w:rsidRDefault="00BB6231" w:rsidP="00536A17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A17">
        <w:rPr>
          <w:rFonts w:ascii="Times New Roman" w:hAnsi="Times New Roman" w:cs="Times New Roman"/>
          <w:sz w:val="24"/>
          <w:szCs w:val="24"/>
        </w:rPr>
        <w:t xml:space="preserve">Мустафин Р.И.,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Будников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В.В., Абдуллина С.Г.,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Насибуллин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Ш.Ф.,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Салеев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Р.А.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Поликомплексный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носитель для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трансбуккальной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мукоадгезивной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доставки </w:t>
      </w:r>
      <w:proofErr w:type="spellStart"/>
      <w:r w:rsidRPr="00536A17">
        <w:rPr>
          <w:rFonts w:ascii="Times New Roman" w:hAnsi="Times New Roman" w:cs="Times New Roman"/>
          <w:sz w:val="24"/>
          <w:szCs w:val="24"/>
        </w:rPr>
        <w:t>метронидазола</w:t>
      </w:r>
      <w:proofErr w:type="spellEnd"/>
      <w:r w:rsidRPr="00536A17">
        <w:rPr>
          <w:rFonts w:ascii="Times New Roman" w:hAnsi="Times New Roman" w:cs="Times New Roman"/>
          <w:sz w:val="24"/>
          <w:szCs w:val="24"/>
        </w:rPr>
        <w:t xml:space="preserve"> // Разработка и регистрация лекарственных средств. 2020. Т. 9. № 2. С. 83-90.</w:t>
      </w:r>
    </w:p>
    <w:p w14:paraId="51369C4B" w14:textId="5AF1BEC5" w:rsidR="00BB6231" w:rsidRPr="00140173" w:rsidRDefault="00BB6231" w:rsidP="00536A17">
      <w:pPr>
        <w:pStyle w:val="a7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6A17">
        <w:rPr>
          <w:rFonts w:ascii="Times New Roman" w:hAnsi="Times New Roman" w:cs="Times New Roman"/>
          <w:sz w:val="24"/>
          <w:szCs w:val="24"/>
          <w:lang w:val="en-US"/>
        </w:rPr>
        <w:t>Porfiryeva</w:t>
      </w:r>
      <w:proofErr w:type="spellEnd"/>
      <w:r w:rsidRPr="00536A17">
        <w:rPr>
          <w:rFonts w:ascii="Times New Roman" w:hAnsi="Times New Roman" w:cs="Times New Roman"/>
          <w:sz w:val="24"/>
          <w:szCs w:val="24"/>
          <w:lang w:val="en-US"/>
        </w:rPr>
        <w:t xml:space="preserve"> N.N., </w:t>
      </w:r>
      <w:proofErr w:type="spellStart"/>
      <w:r w:rsidRPr="00536A17">
        <w:rPr>
          <w:rFonts w:ascii="Times New Roman" w:hAnsi="Times New Roman" w:cs="Times New Roman"/>
          <w:sz w:val="24"/>
          <w:szCs w:val="24"/>
          <w:lang w:val="en-US"/>
        </w:rPr>
        <w:t>Nasibullin</w:t>
      </w:r>
      <w:proofErr w:type="spellEnd"/>
      <w:r w:rsidRPr="00536A17">
        <w:rPr>
          <w:rFonts w:ascii="Times New Roman" w:hAnsi="Times New Roman" w:cs="Times New Roman"/>
          <w:sz w:val="24"/>
          <w:szCs w:val="24"/>
          <w:lang w:val="en-US"/>
        </w:rPr>
        <w:t xml:space="preserve"> S.F., </w:t>
      </w:r>
      <w:proofErr w:type="spellStart"/>
      <w:r w:rsidRPr="00536A17">
        <w:rPr>
          <w:rFonts w:ascii="Times New Roman" w:hAnsi="Times New Roman" w:cs="Times New Roman"/>
          <w:sz w:val="24"/>
          <w:szCs w:val="24"/>
          <w:lang w:val="en-US"/>
        </w:rPr>
        <w:t>Abdullina</w:t>
      </w:r>
      <w:proofErr w:type="spellEnd"/>
      <w:r w:rsidRPr="00536A17">
        <w:rPr>
          <w:rFonts w:ascii="Times New Roman" w:hAnsi="Times New Roman" w:cs="Times New Roman"/>
          <w:sz w:val="24"/>
          <w:szCs w:val="24"/>
          <w:lang w:val="en-US"/>
        </w:rPr>
        <w:t xml:space="preserve"> S.G., </w:t>
      </w:r>
      <w:proofErr w:type="spellStart"/>
      <w:r w:rsidRPr="00536A17">
        <w:rPr>
          <w:rFonts w:ascii="Times New Roman" w:hAnsi="Times New Roman" w:cs="Times New Roman"/>
          <w:sz w:val="24"/>
          <w:szCs w:val="24"/>
          <w:lang w:val="en-US"/>
        </w:rPr>
        <w:t>Tukhbatullina</w:t>
      </w:r>
      <w:proofErr w:type="spellEnd"/>
      <w:r w:rsidRPr="00536A17">
        <w:rPr>
          <w:rFonts w:ascii="Times New Roman" w:hAnsi="Times New Roman" w:cs="Times New Roman"/>
          <w:sz w:val="24"/>
          <w:szCs w:val="24"/>
          <w:lang w:val="en-US"/>
        </w:rPr>
        <w:t xml:space="preserve"> I.K., </w:t>
      </w:r>
      <w:proofErr w:type="spellStart"/>
      <w:r w:rsidRPr="00536A17">
        <w:rPr>
          <w:rFonts w:ascii="Times New Roman" w:hAnsi="Times New Roman" w:cs="Times New Roman"/>
          <w:sz w:val="24"/>
          <w:szCs w:val="24"/>
          <w:lang w:val="en-US"/>
        </w:rPr>
        <w:t>Moustafine</w:t>
      </w:r>
      <w:proofErr w:type="spellEnd"/>
      <w:r w:rsidRPr="00536A17">
        <w:rPr>
          <w:rFonts w:ascii="Times New Roman" w:hAnsi="Times New Roman" w:cs="Times New Roman"/>
          <w:sz w:val="24"/>
          <w:szCs w:val="24"/>
          <w:lang w:val="en-US"/>
        </w:rPr>
        <w:t xml:space="preserve"> R.I., </w:t>
      </w:r>
      <w:proofErr w:type="spellStart"/>
      <w:r w:rsidRPr="00536A17">
        <w:rPr>
          <w:rFonts w:ascii="Times New Roman" w:hAnsi="Times New Roman" w:cs="Times New Roman"/>
          <w:sz w:val="24"/>
          <w:szCs w:val="24"/>
          <w:lang w:val="en-US"/>
        </w:rPr>
        <w:t>Khutoryanskiy</w:t>
      </w:r>
      <w:proofErr w:type="spellEnd"/>
      <w:r w:rsidRPr="00536A17">
        <w:rPr>
          <w:rFonts w:ascii="Times New Roman" w:hAnsi="Times New Roman" w:cs="Times New Roman"/>
          <w:sz w:val="24"/>
          <w:szCs w:val="24"/>
          <w:lang w:val="en-US"/>
        </w:rPr>
        <w:t xml:space="preserve"> V.V. </w:t>
      </w:r>
      <w:proofErr w:type="spellStart"/>
      <w:r w:rsidRPr="00536A17">
        <w:rPr>
          <w:rFonts w:ascii="Times New Roman" w:hAnsi="Times New Roman" w:cs="Times New Roman"/>
          <w:sz w:val="24"/>
          <w:szCs w:val="24"/>
          <w:lang w:val="en-US"/>
        </w:rPr>
        <w:t>Acrylated</w:t>
      </w:r>
      <w:proofErr w:type="spellEnd"/>
      <w:r w:rsidRPr="00536A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173" w:rsidRPr="00536A17">
        <w:rPr>
          <w:rFonts w:ascii="Times New Roman" w:hAnsi="Times New Roman" w:cs="Times New Roman"/>
          <w:sz w:val="24"/>
          <w:szCs w:val="24"/>
          <w:lang w:val="en-US"/>
        </w:rPr>
        <w:t>EUDRAGIT</w:t>
      </w:r>
      <w:r w:rsidRPr="00536A17">
        <w:rPr>
          <w:rFonts w:ascii="Times New Roman" w:hAnsi="Times New Roman" w:cs="Times New Roman"/>
          <w:sz w:val="24"/>
          <w:szCs w:val="24"/>
          <w:lang w:val="en-US"/>
        </w:rPr>
        <w:t xml:space="preserve">® </w:t>
      </w:r>
      <w:r w:rsidR="00140173">
        <w:rPr>
          <w:rFonts w:ascii="Times New Roman" w:hAnsi="Times New Roman" w:cs="Times New Roman"/>
          <w:sz w:val="24"/>
          <w:szCs w:val="24"/>
          <w:lang w:val="en-US"/>
        </w:rPr>
        <w:t>EPO</w:t>
      </w:r>
      <w:r w:rsidRPr="00536A17">
        <w:rPr>
          <w:rFonts w:ascii="Times New Roman" w:hAnsi="Times New Roman" w:cs="Times New Roman"/>
          <w:sz w:val="24"/>
          <w:szCs w:val="24"/>
          <w:lang w:val="en-US"/>
        </w:rPr>
        <w:t xml:space="preserve"> as a novel polymeric excipient with enhanced mucoadhesive properties for applic</w:t>
      </w:r>
      <w:r w:rsidR="00140173">
        <w:rPr>
          <w:rFonts w:ascii="Times New Roman" w:hAnsi="Times New Roman" w:cs="Times New Roman"/>
          <w:sz w:val="24"/>
          <w:szCs w:val="24"/>
          <w:lang w:val="en-US"/>
        </w:rPr>
        <w:t>ation in nasal drug delivery //</w:t>
      </w:r>
      <w:r w:rsidRPr="00536A17">
        <w:rPr>
          <w:rFonts w:ascii="Times New Roman" w:hAnsi="Times New Roman" w:cs="Times New Roman"/>
          <w:sz w:val="24"/>
          <w:szCs w:val="24"/>
          <w:lang w:val="en-US"/>
        </w:rPr>
        <w:t xml:space="preserve">International Journal of Pharmaceutics. 2019. </w:t>
      </w:r>
      <w:r w:rsidRPr="00536A17">
        <w:rPr>
          <w:rFonts w:ascii="Times New Roman" w:hAnsi="Times New Roman" w:cs="Times New Roman"/>
          <w:sz w:val="24"/>
          <w:szCs w:val="24"/>
        </w:rPr>
        <w:t>Т</w:t>
      </w:r>
      <w:r w:rsidRPr="00536A17">
        <w:rPr>
          <w:rFonts w:ascii="Times New Roman" w:hAnsi="Times New Roman" w:cs="Times New Roman"/>
          <w:sz w:val="24"/>
          <w:szCs w:val="24"/>
          <w:lang w:val="en-US"/>
        </w:rPr>
        <w:t xml:space="preserve">. 562. </w:t>
      </w:r>
      <w:r w:rsidRPr="00536A17">
        <w:rPr>
          <w:rFonts w:ascii="Times New Roman" w:hAnsi="Times New Roman" w:cs="Times New Roman"/>
          <w:sz w:val="24"/>
          <w:szCs w:val="24"/>
        </w:rPr>
        <w:t>С</w:t>
      </w:r>
      <w:r w:rsidRPr="00536A17">
        <w:rPr>
          <w:rFonts w:ascii="Times New Roman" w:hAnsi="Times New Roman" w:cs="Times New Roman"/>
          <w:sz w:val="24"/>
          <w:szCs w:val="24"/>
          <w:lang w:val="en-US"/>
        </w:rPr>
        <w:t>. 241-248.</w:t>
      </w:r>
    </w:p>
    <w:p w14:paraId="71B0FD57" w14:textId="77777777" w:rsidR="00BB6231" w:rsidRPr="00140173" w:rsidRDefault="00BB6231" w:rsidP="00536A17">
      <w:pPr>
        <w:pStyle w:val="a7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64675A" w14:textId="2DF3F9B4" w:rsidR="00BB6231" w:rsidRPr="00140173" w:rsidRDefault="00BB6231" w:rsidP="00536A17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B6231" w:rsidRPr="00140173" w:rsidSect="00536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7018"/>
    <w:multiLevelType w:val="hybridMultilevel"/>
    <w:tmpl w:val="023E83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28"/>
    <w:rsid w:val="00140173"/>
    <w:rsid w:val="00536A17"/>
    <w:rsid w:val="00561E90"/>
    <w:rsid w:val="007365F2"/>
    <w:rsid w:val="00846D28"/>
    <w:rsid w:val="009D42BB"/>
    <w:rsid w:val="00A21C67"/>
    <w:rsid w:val="00B57B99"/>
    <w:rsid w:val="00B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CBDA"/>
  <w15:chartTrackingRefBased/>
  <w15:docId w15:val="{4AE56218-A2D0-4178-A358-C665AC80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D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D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D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D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D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D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6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D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6D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D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D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6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User</cp:lastModifiedBy>
  <cp:revision>2</cp:revision>
  <dcterms:created xsi:type="dcterms:W3CDTF">2025-03-27T15:24:00Z</dcterms:created>
  <dcterms:modified xsi:type="dcterms:W3CDTF">2025-03-27T15:24:00Z</dcterms:modified>
</cp:coreProperties>
</file>